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Батталова Рината Шайхеевича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Р.Ш.Батталова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Р.Ш.Батталов оспаривает конституционность статьи 166 «Разрешение судом ходатайств лиц, участвующих в деле», части второй статьи 224 «Порядок вынесения определений суда» и части первой статьи 331 «Обжалование определений суда первой инстанции»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Р.Ш.Батталову отказано в удовлетворении исковых требований к ряду ответчиков о взыскании денежных средств. Определением судьи Верховного Суда Российской Федерации, с 2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Р.Ш.Батталова, оспариваемые законоположения не соответствуют статье 46 (часть 1) Конституции Российской Федерации в той мере, в какой позволяют суду немотивированно отказывать в удовлетворении заявленных ходатайств и исключают возможность обжалования определений, принятых по результатам их рассмотрения, что приводит к ограничению права граждан на судебную защиту, а содержащееся в части второй статьи 224 ГПК Российской Федерации понятие «несложные вопросы» не отвечает критерию правовой определенности.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Батталова Рината Шайхеевича,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