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Ткаченко Андрея Валерьевича на нарушение его конституционных прав частью первой статьи 152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А.В.Ткаченко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А.В.Ткаченко оспаривает конституционность части первой статьи 152 Трудового кодекса Российской Федерации, закрепляющей, что сверхурочная работа оплачивается за первые два часа работы не менее чем в полуторном размере, за последующие часы – не менее чем в двойном размере; конкретные размеры оплаты за сверхурочную работу могут определяться коллективным договором, локальным нормативным актом или трудовым договором;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сверхурочно, за исключением случаев, предусмотренных данным Кодексом. 2 По мнению заявителя, оспариваемое законоположение не соответствует статьям 17 (часть 3) и 37 (части 1 и 2) Конституции Российской Федерации в той мере, в какой оно в системе действующего правового регулирования по смыслу, придаваемому им правоприменительной практикой, предоставляет работодателю право не учитывать при расчете оплаты сверхурочных работ стимулирующие выплаты, а именно ежемесячные премии, входящие в систему оплаты труда.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была предметом рассмотрения Конституционного Суда Российской Федерации, который в Постановлении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Ткаченко Андрея Валерьевича, поскольку по предмету обращения Конституционным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