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Егорова Владимира Анатольевича на нарушение его конституционных прав статьей 13 Федерального закона «О содержании под стражей подозреваемых и обвиняемых в совершении преступлений»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В.А.Егорова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отношении гражданина В.А.Егорова, обвиняемого по уголовному делу, избрана мера пресечения в виде заключения под стражу. Постановлением районного суда, с которым согласились вышестоящие суды, оставлена без удовлетворения поданная в его интересах жалоба на действия следователя о переводе В.А.Егорова в следственный изолятор, находящийся на территории другого субъекта Российской Федерации. Суды апелляционной и кассационной инстанций отметили, что решение районного суда принято в соответствии с правовой позицией Конституционного Суда 2 Российской Федерации, выраженной им в Постановлении от 20 января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Рассматривая вопрос о судебной проверке законности и обоснованности решения следователя, лица, производящего дознание, о переводе подозреваемого, обвиняемого из одного следственного изолятора в другой,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Егорова Владимира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