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«МНД» на нарушение его конституционных прав положением пункта 3 статьи 421 и пунктом 1 статьи 523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«МНД»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«МНД» оспаривает конституционность следующих положений Гражданского кодекса Российской Федерации: второго предложения пункта 3 статьи 421, согласно которому к отношениям сторон по смешанному договору применяются в соответствующих частях правила о договорах, чьи элементы содержатся в смешанном договоре, если иное не вытекает из соглашения сторон или существа смешанного договора; 2 пункта 1 статьи 523 о том, что 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 (абзац четвертый пункта 2 статьи 450 того же Кодекса).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исковых требований названного общества к другому юридическому лицу о признании недействительным решения об одностороннем отказе от исполнения договора, удовлетворены встречные исковые требования о взыскании неосновательного обогащения в размере выплаченного авансового платежа по договору, неустойки, процентов. По мнению общества, оспариваемые положения в их взаимосвязи не соответствуют статьям 15 (часть 1), 17 (часть 3), 18, 19 (части 1 и 2), 35 (часть 1), 45 (часть 1), 46 (часть 1) и 55 (часть 2) Конституции Российской Федерации в той мере, в какой они – в силу своей неопределенности и по смыслу, придаваемому им правоприменительной практикой, – допускают применение норм, регулирующих односторонний отказ от исполнения договора поставки, для одностороннего расторжения смешанного договора, поименованного как договор поставки, но содержащего элементы договоров поставки и подряда, в связи с неисполнением стороной такого смешанного договора обязательств в части подрядных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3 статьи 421 ГК Российской Федерации, регламентирующие отношения по смешанному договору и уточняющие тем самым содержание принципа свободы договора, направлены на обеспечение баланса интересов его сторон и гарантирование свободы договора как принципа, основанного на положениях Конституции Российской Федерации и относящегося к основным началам гражданского законодательства (определения Конституционного Суда Российской Федерации от 23 октября 3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«МНД»,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