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«ПсковАгроИнвест» на нарушение его конституционных прав подпунктом 2 пункта 4 статьи 1515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«ПсковАгроИнвест»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«ПсковАгроИнвест» (далее также – ООО «ПсковАгроИнвест») оспаривает конституционность подпункта 2 пункта 4 статьи 1515 ГК Российской Федерации, предусматривающего, что правообладатель вправе требовать по своему выбору от нарушителя вместо возмещения убытков выплаты компенсации в двукратном размере стоимости товаров, на которых незаконно размещен товарный знак, или в двукратном размере стоимости права использования товарного знака, определяемой исходя из цены, которая при сравнимых обстоятельствах обычно взимается за правомерное использование товарного знака. 2 Из представленных материалов следует, что решением арбитражного суда, оставленным без изменения постановлением суда апелляционной инстанции, с ООО «ПсковАгроИнвест» взыскана компенсация за нарушение исключительного права на товарный знак в размере суммы однократной стоимости товаров, на которых незаконно размещен товарный знак, за период, предшествующий получению претензии правообладателя, и полуторной стоимости – за последующий период. Суд первой инстанции, среди прочего, указал, что заявитель хотя и прекратил нарушение исключительного права, сделал это не сразу. В передаче кассационной жалобы на названные судебные акты и постановление Суда по интеллектуальным правам,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оспариваемое положение противоречит статьям 17 (часть 3), 19 (части 1 и 2), 34 и 55 (часть 3) Конституции Российской Федерации, поскольку в системе действующего правового регулирования оно не позволяет суду при определении размера компенсации за нарушение исключительного права на товарный знак снизить с учетом фактических обстоятельств конкретного дела общий размер компенсации ниже стоимости товаров, на которых незаконно размещен товарный знак.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1515 ГК Российской Федерации, закрепляющий право правообладателя требовать по своему выбору от нарушителя вместо возмещения убытков выплаты компенсации и предусматривающий способы ее расчета, развивает положения пункта 3 статьи 1252 того же Кодекса и обеспечивает защиту интересов обладателя исключительного права на товарный знак (Определение Конституционного Суда Российской Федерации от 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«ПсковАгроИнвест»,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