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Ускорцева Александра Владимировича на нарушение его конституционных прав пунктами 1 и 2 статьи 83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А.В.Ускорцева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А.В.Ускорцев оспаривает конституционность пунктов 1 и 2 статьи 83 «Взыскание алиментов на несовершеннолетних детей в твердой денежной сумме» Семейного кодекса Российской Федерации. Из представленных материалов следует, что апелляционным определением изменено решение суда общей юрисдикции и принято новое решение о взыскании с А.В.Ускорцева алиментов на несовершеннолетних детей в размере половины прожиточного минимума для детей, установленного в субъекте Российской Федерации, ежемесячно (на каждого 2 ребенка). Суд апелляционной инстанции указал на отсутствие обстоятельств, объективно препятствующих взысканию алиментов в этом размере.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Конституции Российской Федерации, в частности ее статьям 17 (часть 3) и 20 (часть 1), поскольку они позволяют определять размер алиментов, взыскиваемых в твердой денежной сумме, без учета суммы, остающейся после уплаты алиментов у плательщика, даже если она менее прожиточного минимума.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в основе правового регулирования принудительного исполнения родителями обязанности содержать своих несовершеннолетних детей лежит требование о необходимости обеспечения баланса интересов обеих сторон алиментных отношений (постановления от 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Ускорцева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