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Шмелева Валерия Николаевича на нарушение его конституционных прав статьей 254 Гражданского кодекса Российской Федерации и статьями 38 и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В.Н.Шмелева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В.Н.Шмелев оспаривает конституционность статьи 254 «Раздел имущества, находящегося в совместной собственности, и выдел из него доли» ГК Российской Федерации, а также статей 38 «Раздел общего имущества супругов» и 39 «Определение долей при разделе общего имущества супругов» Семейного кодекса Российской Федерации. Как следует из представленных материалов, решением суда общей юрисдикции и апелляционным определением, частично его изменившим, при разделе общего имущества супругов, брак которых расторгнут, среди 2 прочего, с В.Н.Шмелева как с супруга, получившего имущество, стоимость которого превышала причитавшуюся ему долю, взыскана компенсация.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(часть 3), 18, 19 (часть 1), 45 (часть 1), 46 (часть 1), 55 (части 2 и 3) и 123 (часть 3) Конституции Российской Федерации, поскольку по смыслу, придаваемому им правоприменительной практикой (в том числе с учетом разъяснений, содержащихся в пункте 15 постановления Пленума Верховного Суда Российской Федерации от 5 ноября 1998 года № 15 «О применении судами законодательства при рассмотрении дел о расторжении брака»), они приводят к неопределенности и позволяют судам произвольно определять стоимость общего имущества супругов при его разделе. Кроме того, В.Н.Шмелев указывает, что в деле с его участием стоимость общего имущества супругов устанавливалась на разные моменты (2015 год и время рассмотрения дела) и что суды неверно определили размер компенсации, присужденной его бывшей супруге при разделе их общего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статей 38 и 39 Семейного кодекса Российской Федерации обеспечивают защиту имущественных прав супругов и бывших супругов при разделе их общего имущества, как и рассматриваемая во взаимосвязи с ними статья 254 ГК Российской Федерации (Определение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Шмелева Валерия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