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Чуркина Павла Александровича на нарушение его конституционных прав пунктами 2 и 29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П.А.Чуркина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П.А.Чуркин оспаривает конституционность следующих положений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(утверждены Постановлением Правительства Российской Федерации от 21 декабря 2019 года № 1764): пункта 2, в соответствии с которым государственная регистрация транспортного средства осуществляется регистрационными подразделениями 2 за собственником транспортного средства (за исключением лица, не достигшего возраста 16 лет либо признанного недееспособным), или лицом, владеющим транспортным средством на праве хозяйственного ведения, на праве оперативного управления либо на основании договора лизинга, или одним из родителей, усыновителей либо опекунов (попечителей) лица, не достигшего возраста 16 лет, являющегося собственником транспортного средства, или опекуном недееспособного гражданина, являющегося собственником транспортного средства; пункта 29, в соответствии с которым постановка транспортных средств на государственный учет осуществляется только за одним юридическим или физическим лицом либо индивидуальным предпринимателем; постановка на государственный учет транспортного средства, принадлежащего 2 и более собственникам, осуществляется за одним из них при наличии письменного согласия на это остальных собственников, поданного ими в регистрационное подразделение при производстве регистрационного действия. Как следует из представленных материалов, вступившими в законную силу актами судов общей юрисдикции удовлетворено административное исковое заявление налогового органа о взыскании с П.А.Чуркина недоимки по транспортному налогу. При этом суды установили, что именно на заявителя было зарегистрировано транспортное средство, а указание в особых отметках в свидетельстве о регистрации сведений о наличии второго собственника не может служить основанием для перераспределения налоговой обязанности между соответствующими лицами. По мнению заявителя, оспариваемые нормативные положения противоречат статьям 17 (часть 3), 19 (часть 1), 35 (части 1 и 2) и 57 Конституции Российской Федерации, поскольку привели к необходимости уплаты налогоплательщиком транспортного налога за не принадлежащую ему долю в праве собственности на транспортное средство.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Чуркина Павла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