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Петрова Михаила Борисовича на нарушение его конституционных прав пунктом 3 части первой статьи 72 и статьей 4011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М.Б.Петрова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М.Б.Петров просит признать не соответствующими Конституции Российской Федерации пункт 3 части первой статьи 72 «Обстоятельства, исключающие участие в производстве по уголовному делу защитника, представителя потерпевшего, гражданского истца или гражданского ответчика» и статью 4011 «Предмет судебного разбирательства в кассационном порядке» УПК Российской Федерации, поскольку они, по его мнению, в силу своей неопределенности позволили следователю отвести его защитника ввиду того, что он ранее оказывал юридическую помощь потерпевшей по его уголовному делу, а также 2 запрещают кассационное обжалование вынесенного по данному вопросу судебного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взаимосвязанных положений статей 17 (часть 3) и 48 (часть 1) Конституции Российской Федерации право на получение квалифицированной юридической помощи не является безусловным и не означает право выбирать для оказания юридической помощи любого адвоката по своему усмотрению, в том числе без учета обстоятельств, исключающих его участие в деле.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Петрова Михаила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