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Сорокиной Наталии Игоревны на нарушение ее конституционных прав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Н.И.Сорокиной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Н.И.Сорокина оспаривает конституционность части второй статьи 135 Трудового кодекса Российской Федерации,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2 По мнению заявительницы, оспариваемая норма, примененная в ее деле судом, противоречит Конституции Российской Федерации, ее статьям 19 (части 1 и 2), 37 (часть 3), 55 (часть 3), 75 (часть 5) и 751, поскольку позволяет работодателю произвольно устанавливать на локальном уровне правила исчисления отдельных выплат, входящих в состав заработной платы, и тем самым – во взаимосвязи с соответствующими положениями коллективного договора и (или) локальных нормативных актов – позволяет без учета количества и качества затраченного труда, а также иных объективных критериев уменьшать размер заработной платы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Сорокиной Наталии Игоревны,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