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«Право и Финансы» на нарушение его конституционных прав статьями 37, 48, 63, 82 и 273 Арбитражного процессуального кодекса Российской Федерации, статьями 388 и 390 Гражданского кодекса Российской Федерации и статьей 40 Федерального закона «Об обществах с ограниченной ответственностью»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«Право и Финансы»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«Право и Финансы» (далее также – ООО «Право и Финансы») оспаривает конституционность статей 37 «Договорная подсудность», 48 «Процессуальное правопреемство», 63 «Проверка полномочий лиц, участвующих в деле, и их представителей», 82 «Назначение экспертизы» и 273 «Право кассационного обжалования» АПК Российской Федерации, статей 388 «Условия уступки требования» и 390 «Ответственность цедента» ГК 2 Российской Федерации, а также статьи 40 «Единоличный исполнительный орган общества» Федерального закона от 8 февраля 1998 года № 14-ФЗ «Об обществах с ограниченной ответственностью». Как следует из представленных материалов, ООО «Право и Финансы» обратилось в Арбитражный суд Челябинской области (суд по месту нахождения истца) с иском о признании ничтожным соглашения об уступке требования и о взыскании денежных средств. Определением названного суда, оставленным без изменения Восемнадцатым арбитражным апелляционным судом, дело было передано по подсудности в Арбитражный суд города Москвы (суд по месту нахождения ответчика), так как представленные сторонами Арбитражному суду Челябинской области копии договора об изменении территориальной подсудности спора противоречили друг другу и не позволяли установить факт наличия между сторонами соглашения о рассмотрении спора Арбитражным судом Челябинской области. Решением Арбитражного суда города Москвы иск заявителя был удовлетворен. Постановлением Девятого арбитражного апелляционного суда, оставленным в силе Арбитражным судом Московского округа, указанное решение отменено, в удовлетворении исковых требований отказано. Определением судьи Верховного Суда Российской Федерации отказано в передаче кассационной жалобы для рассмотрения в судебном заседании суда кассационной инстанции. По мнению заявителя, оспариваемые нормы не соответствуют статьям 2, 8 (часть 2), 45, 46 (часть 1), 47 (часть 1) и 60 Конституции Российской Федерации в той мере, в какой они допускают произвольное разрешение арбитражными судами вопросов о том, могут ли отчуждаться по договору требования, которые не охраняются законом и судом; имеется ли соглашение сторон об изменении территориальной подсудности спора; должна ли быть назначена судебная экспертиза по делу; какие лица наделены правом кассационного обжалования вступившего в законную силу судебного акта; вправе ли конкретное лицо осуществлять функции 3 единоличного исполнительного органа общества с ограниченной ответственностью и выступать от имени указанного общества в арбитражном процессе.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обоснование своей жалобы ООО «Право и Финансы» приводит доводы о недействительности сделки, игнорировании судами надлежащего письменного доказательства, допуске неуполномоченного лица к участию в процессе, неправильном установлении фактических обстоятельств, а также прочие доводы, свидетельствующие о том, что, формально оспаривая конституционность перечисленных в жалобе норм, заявитель фактически настаивает на проверке обоснованности судебных актов. Между тем такого рода проверка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«Право и Финансы»,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