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Нарольского Владислава Михайловича на нарушение его конституционных прав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В.М.Нарольского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В.М.Нарольский оспаривает конституционность части первой статьи 236 Трудового кодекса Российской Федерации, согласно которой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2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По мнению заявителя, оспариваемое законоположение, примененное в его деле судами общей юрисдикции, противоречит статьям 19 (части 1 и 2), 21 (часть 1), 45 (часть 1), 46 (часть 1), 55 (часть 3) и 751 Конституции Российской Федерации, поскольку в той мере, в какой по смыслу, придаваемому ей судебным толкованием, в том числе в его деле, данная норма не обеспечивает взыскания с работодателя процентов (денежной компенсации) в случае, когда полагающиеся работнику выплаты – в нарушение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 и трудового договора – не были начислены своевременно, а решением суда было признано право работника на их получение, с исчислением размера таких процентов (денежной компенсации) из фактически не выплаченных денежных сумм со дня, следующего за днем, когда в соответствии с действующим правовым регулированием эти выплаты должны были быть выплачены при своевременном их начислении.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Вопрос, поставленный заявителем, был разрешен Конституционным Судом Российской Федерации в Постановлении от 11 апреля 2023 года № 16- П, которым часть первая статьи 236 Трудового кодекса Российской Федерации признана не соответствующей Конституции Российской Федерации, ее статьям 19 (части 1 и 2), 21 (часть 1), 45 (часть 1), 46 (часть 1), 55 (часть 3) и 751, в той мере, в какой по смыслу, придаваемому ей судебным толкованием, данная норма не обеспечивает взыскания с работодателя процентов (денежной компенсации) в случае, когда полагающиеся работнику 3 выплаты – в нарушение трудового законодательства и иных нормативных правовых актов, содержащих нормы трудового права, коллективного договора, соглашения, локального нормативного акта и трудового договора – не были начислены своевременно, а решением суда было признано право работника на их получение, с исчислением размера таких процентов (денежной компенсации) из фактически не выплаченных денежных сумм со дня, следующего за днем, когда в соответствии с действующим правовым регулированием эти выплаты должны были быть выплачены при своевременном их начислении. Федеральному законодателю было дано поручение внести в указанную норму необходимые изменения.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Нарольского Владислава Михайловича,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