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622-О/2024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обращения гражданина Луковского Юрия Зиновьевича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Ю.З.Луковского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Конституционные основы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апелляционной инстанции, оставленным без изменения кассационным судом общей юрисдикции, отменено решение суда первой инстанции и принято новое – о взыскании с граждан Ю.З.Луковского и Л.Л. денежных средств. Определением судьи Верховного Суда Российской Федерации в передаче кассационной жалобы Ю.З.Луковского и Л.Л. для рассмотрения в судебном заседании Судебной коллегии по гражданским делам Верховного Суда Российской Федерации отказано, с чем согласился заместитель Председателя этого суда (письмо от 29 июля 2021 года). Решением суда общей юрисдикции отказано в удовлетворении искового заявления судебного пристава-исполнителя к Ю.З.Луковскому и Л.Л. о выделе доли в имуществе супругов и признании права собственности. 2 В связи с этим Ю.З.Луковский, действуя в своих интересах, интересах неопределенного круга лиц, в том числе Л.Л. и гражданина Л.Д., полагает, что неприменением судом ряда норм Гражданского процессуального кодекса Российской Федерации, в частности его статей 3, 12, 61, 226 и 392, при рассмотрении конкретных гражданских дел, а также действиями участников судебного разбирательства и судей, подпадающих, по его мнению, под признаки преступлений, предусмотренных уголовным законодательством Российской Федерации, были нарушены конституционные права указанных лиц. Кроме того, заявитель ставит ряд других вопросов, не связанных с проверкой конституционности нормативного акта.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частью первой статьи 37 Федерального конституционного закона «О Конституционном Суде Российской Федерации» обращение направляется в Конституционный Суд Российской Федерации в письменной форме и подписывается управомоченным лицом (управомоченными лицами). Часть вторая статьи 53 названного Федерального конституционного закона устанавливает, в частности, что представителями сторон в конституционном судопроизводстве могут выступать адвокат или лицо, имеющее ученую степень по юридической специальности, чьи полномочия должны подтверждаться соответствующими документами. Поскольку Ю.З.Луковским таких документов не представлено (к материалам жалобы приложены только доверенности на представление интересов Л.Л. и Л.Д.), постольку он не может рассматриваться как надлежащий представитель указанных лиц. Равным образом заявитель не наделен правом при обращении в В соответствии со статьей 125 (пункт «а» части 4) Конституции Российской Федерации и пунктом 3 части первой статьи 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Луковского Юрия Зиновьевича,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