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Самородина Андрея Викторовича на нарушение его конституционных прав пунктом 1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А.В.Самородина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А.В.Самородин оспаривает конституционность пункта 1 статьи 200 ГК Российской Федерации, предусматривающего, что, 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 Как следует из представленных материалов, решением суда общей юрисдикции, оставленным без изменения определением суда апелляционной инстанции, удовлетворен иск гражданки С. к А.В.Самородину о признании утратившим право пользования жилым помещением, снятии с 2 регистрационного учета; заявителю отказано в удовлетворении встречных требований о признании договора передачи жилого помещения в собственность частично недействительным, прекращении права собственности С. на долю в праве собственности на спорное жилое помещение, признании доли за А.В.Самородиным. Суд кассационной инстанции указал, что выводы судов первой и апелляционной инстанций о пропуске заявителем срока исковой давности основаны на правильном применении норм права.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пункт 1 статьи 200 ГК Российской Федерации противоречит Конституции Российской Федерации, поскольку он по смыслу, придаваемому ему правоприменительной практикой, позволяет суду самостоятельно определять перечень доказательств пропуска срока исковой давности; порождает неопределенность в вопросе об обязанности гражданина, права которого нарушены сделкой, в которой он не участвовал, представлять доказательства такого нарушения своих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Самородина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