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1766-О/2024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Калошина Евгения Анатольевича на нарушение его конституционных прав рядом положений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Е.А.Калошина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Е.А.Калошин оспаривает конституционность положений части 2 статьи 59 «Доказательства», статьи 318 «Право на обращение в суд кассационной инстанции», части 6 статьи 320 «Содержание кассационных жалобы, представления» и части 2 статьи 328 «Основания для отмены или изменения судебных актов в кассационном порядке» КАС Российской Федерации. Из представленных материалов следует, что определением гарнизонного военного суда, с которым согласились суды вышестоящих инстанций, Е.А.Калошину было отказано в удовлетворении его требований о пересмотре 2 судебного акта по новым обстоятельствам. Как указали суды, обстоятельства, на которые ссылается заявитель, не являются основанием для пересмотра принятого по его делу судебного акта. По мнению заявителя, оспариваемые законоположения нарушают его права, в частности право на судебную защиту, а потому противоречат статьям 18, 19 (части 1 и 2), 46 (части 1 и 2) и 50 (часть 2)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Определениями от 31 марта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Калошина Евгения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