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3371-О/2025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Голдиной Татьяны Александровны на нарушение ее конституционных прав пунктом 2 статьи 1143 и статьей 1146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Т.А.Голдиной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Т.А.Голдина оспаривает конституционность пункта 2 статьи 1143 «Наследники второй очереди» и статьи 1146 «Наследование по праву представления» ГК Российской Федерации. Как следует из представленных материалов, решением суда общей юрисдикции, с которым согласились суды вышестоящих инстанций, Т.А.Голдиной – дочери родного племянника наследодателя (двоюродной внучке наследодателя) в удовлетворении исковых требований об установлении факта родственных отношений, признании права собственности на наследственное имущество отказано в связи с тем, что у нее не возникло право 2 наследования по закону при жизни наследника второй очереди по праву представления, принявшего наследство. По мнению заявительницы, оспариваемые нормы противоречат статьям 19 (часть 1) и 35 (часть 4) Конституции Российской Федерации, поскольку исключают возможность наследования двоюродной внучкой наследодателя по праву представления после смерти своего родителя, приходящегося наследодателю родным племянником и умершего до открытия наследства.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Голдиной Татьяны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