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Лаптевой Тамары Алексеевны на нарушение ее конституционных прав пунктом 1 части второй статьи 3907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Т.А.Лаптевой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Т.А.Лаптева, которой определением судьи Верховного Суда Российской Федерации в передаче кассационной жалобы для рассмотрения в судебном заседании Судебной коллегии по гражданским делам Верховного Суда Российской Федерации было отказано, оспаривает конституционность пункта 1 части второй статьи 3907 «Рассмотрение кассационных жалобы, представления» ГПК Российской Федерации. По мнению заявительницы, оспариваемое законоположение не соответствует Конституции Российской Федерации, в том числе ее статьям 15 (часть 1), 18, 46 (часть 1), 55 и 56 (часть 3), поскольку лишает кассатора прав на 2 рассмотрение его жалобы судебной коллегией Верховного Суда Российской Федерации коллегиально, на присутствие в соответствующем судебном заседании и дачу устных пояснений по делу, допускает немотивированное изложение оснований для отказа в передаче кассационной жалобы для рассмотрения в судебном заседании указанного суда, препятствует обжалованию определения судьи Верховного Суда Российской Федерации о таком отказе.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Лаптевой Тамары Алексеевны, поскольку она не отвечает требованиям Федерального 4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