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Руденко Валентины Петровны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В.П.Руденко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В.П.Руденко оспаривает конституционность пункта 1 статьи 234 ГК Российской Федерации, устанавливающего, что лицо – гражданин или юридическое лицо, –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данной статьей, в течение пятнадцати лет либо иным имуществом в течение пяти лет, – приобретает право собственности на это имущество (приобретательная давность). 2 Из представленных материалов следует, что решением суда общей юрисдикции, оставленным без изменения определением суда апелляционной инстанции, В.П.Руденко отказано в удовлетворении исковых требований о признании ответчика утратившим право на долю в праве собственности, аннулировании записи о регистрации его права собственности и признании права на указанную долю за заявительницей.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234 ГК Российской Федерации противоречит статьям 35 (части 1–3) и 40 (часть 1) Конституции Российской Федерации, поскольку он по смыслу, придаваемому ему правоприменительной практикой, позволяет признавать давностное владение недобросовестным и препятствует приобретению права собственности на жилище в силу приобретательной давности в случаях осведомленности лица, претендующего на получение такого права, о существовании у спорного имущества собственника.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на реализацию прав, гарантированных статьей 35 (часть 2) Конституции Российской Федерации. В Постановлении от 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Руденко Валентины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