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Стерлигова Андрея Владимировича на нарушение его конституционных прав статьей 161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А.В.Стерлигова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А.В.Стерлигов оспаривает конституционность статьи 161 «Переход к рассмотрению дела по правилам гражданского судопроизводства» КАС Российской Федерации. Как следует из представленных материалов, вступившими в законную силу судебными актами отказано в удовлетворении заявленного в порядке административного судопроизводства требования А.В.Стерлигова, которому была излишне выплачена региональная социальная доплата к пенсии, об отмене решения органа социальной защиты о возмещении излишне выплаченных денежных средств. При этом судом первой 2 инстанции после перехода к рассмотрению дела по правилам гражданского судопроизводства в соответствии со статьей 161 КАС Российской Федерации был заменен ненадлежащий ответчик. По мнению заявителя, оспариваемое законоположение не соответствует статьям 46 (части 1 и 2) и 47 (часть 1) Конституции Российской Федерации, поскольку оно при переходе к рассмотрению дела по правилам гражданского судопроизводства позволяет суду произвести замену ненадлежащего ответчика без учета позиции истца по данному вопросу.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Стерлигова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