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1967-О/2023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Алешновской Светланы Сергеевны и Алешновского Сергея Николаевича на нарушение их конституционных прав пунктами 1 и 2 статьи 152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 С.С.Алешновской и С.Н.Алешновского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С.С.Алешновская и С.Н.Алешновский просят признать ошибочным, не соответствующим обстоятельствам дела и противоречащим Конституции Российской Федерации применение судами пунктов 1 и 2 статьи 152 «Приемная семья» Семейного кодекса Российской Федерации и решений Конституционного Суда Российской Федерации: постановлений от 27 декабря 1999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обеспечивают определенность правового положения граждан в случае установления опеки или попечительства над ребенком или детьми по договору о приемной семье (Определение Конституционного Суда Российской Федерации от 26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Алешновской Светланы Сергеевны и Алешновского Сергея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