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Ретинского Леонида Михайловича на нарушение его конституционных прав частью 4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Л.М.Ретинского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Л.М.Ретинский оспаривает конституционность части 4 статьи 69 «Основания освобождения от доказывания» АПК Российской Федерации. Решением арбитражного суда, оставленным без изменения вышестоящими арбитражными судами, частично удовлетворено заявление юридического лица, которым ранее руководил Л.М.Ретинский, привлеченный к участию в деле в качестве третьего лица, не заявляющего самостоятельных требований относительно предмета спора, о признании недействительным решения налогового органа о привлечении истца к 2 ответственности за совершение налоговых правонарушений. При этом, отвергая ссылку заявителя на представленное им постановление следователя о прекращении уголовного дела в связи с отсутствием события преступления, арбитражный суд апелляционной инстанции указал, что оно не имеет преюдициального значения и что оно отменено прокурором. Определением судьи Верховного Суда Российской Федерации отказано в передаче кассационной жалобы Л.М.Ретинского для рассмотрения в судебном заседании суда кассационной инстанции. Письмом заместителя Председателя того же суда заявителю отказано в удовлетворении просьбы о внесении в Президиум Верховного Суда Российской Федерации представления о пересмотре судебных актов в порядке надзора. По мнению Л.М.Ретинского, оспариваемое положение не соответствует статьям 2, 18, 45, 46 и 49 Конституции Российской Федерации в той мере, в какой оно позволяет арбитражным судам пересматривать вывод об отсутствии события преступления, содержащийся в постановлении о прекращении уголовного дела, ставя под сомнение невиновность лица, от уголовного преследования которого государство в лице органов предварительного расследования отказалось.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Признание преюдициального значения судебного решения, будучи направленным на обеспечение стабильности и общеобязательности судебного решения, исключение возможного конфликта судебных актов, предполагает, что факты, установленные судом при рассмотрении одного дела, впредь до их опровержения принимаются другим судом по другому делу в этом же или ином виде судопроизводства, если они имеют значение для разрешения данного дела; преюдициальность служит средством поддержания непротиворечивости судебных актов и обеспечивает действие 3 принципа правовой определенности (Постановление Конституционного Суда Российской Федерации от 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Ретинского Леонида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