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Глацунова Сергея Владимировича на нарушение его конституционных прав частью 1 статьи 9.1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С.В.Глацунова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С.В.Глацунов оспаривает конституционность части 1 статьи 9.1 КоАП Российской Федерации, в соответствии с которой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года. 2 Как следует из представленных материалов, постановлением мирового судьи, оставленным без изменения вышестоящими судами, С.В.Глацунов, являющийся генеральным директором публичного акционерного общества «Тюменские моторостроители», был признан виновным в совершении административного правонарушения, предусмотренного частью 1 статьи 9.1 КоАП Российской Федерации, и ему было назначено административное наказание в виде дисквалификации на срок шесть месяцев. Заявитель утверждает, что нарушения, выявленные в ходе проведения прокуратурой проверки исполнения законодательства о государственном оборонном заказе, были допущены до назначения его на руководящую должность и с учетом их характера не могли быть устранены в кратчайшие сроки. Поэтому он просит признать оспариваемое законоположение не соответствующим статьям 1 (часть 1), 2, 17 (часть 3), 18 и 55 (часть 3) Конституции Российской Федерации, поскольку оно, по его мнению, позволяет применять дисквалификацию независимо от степени вины должностного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Кодексом Российской Федерации об административных правонарушениях лицо подлежит административной ответственности только за те административные правонарушения, в отношении которых установлена его вина, а неустранимые сомнения в виновности лица, привлекаемого к административной ответственности, толкуются в пользу этого лица (части 1 и 4 статьи 1.5); административное наказание за совершение административного правонарушения назначается в пределах, установленных законом, предусматривающим ответственность за данное административное правонарушение; при назначении административного наказания физическому лицу учитываются характер совершенного им административного 3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 (части 1 и 2 статьи 4.1). Приведенные нормы, равно как и иные общие положения законодательства об административных правонарушениях, подлежат применению при производстве по каждому делу об административном правонарушении, в том числе предусмотренному частью 1 статьи 9.1 КоАП Российской Федерации. Они не позволяют произвольно определять меру ответственности за административное правонарушение без учета всех обстоятельств, имеющих значение для правильного разрешения дела и подлежащих обязательному выяснению, включая виновность лица в совершении административного правонарушения (статья 26.1 данного Кодекса). Таким образом, оспариваемое законоположение, рассматриваемое в системе действующего правового регулирования, не может рассматриваться как нарушающее конституционные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Глацунова Сергея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