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Чекмарева Романа Александровича на нарушение его конституционных прав пунктом 1 статьи 6 Гражданского кодекса Российской Федерации и положением ведомственного нормативного акта федерального органа исполнительной власти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Р.А.Чекмарева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Р.А.Чекмарев оспаривает конституционность следующих нормативных положений: пункта 1 (в жалобе ошибочно названного частью 1) статьи 6 ГК Российской Федерации о применении гражданского законодательства, регулирующего сходные отношения (аналогия закона); пункта 3 Порядка предоставления военнослужащим войск национальной гвардии Российской Федерации жилых помещений в собственность бесплатно или по договору социального найма (утвержден приказом Росгвардии от 28 сентября 2018 года № 431; далее – Порядок), в 2 частности закрепляющего, что размер предоставляемой общей площади жилого помещения уменьшается на общую площадь жилых помещений, занимаемых военнослужащим (гражданином, уволенным с военной службы) и (или) членами его семьи по договору социального найма, в случае если в отношении этой площади указанными лицами не взято на себя письменное обязательство о расторжении договора социального найма, ее освобождении и передаче органу, предоставившему жилые помещения. Как следует из представленных материалов, решением уполномоченного органа заявитель исключен из списка нуждающихся в жилых помещениях и списка военнослужащих, граждан, уволенных с военной службы, членов их семей, имеющих право на получение субсидии для приобретения или строительства жилого помещения, поскольку он обеспечен общей площадью жилого помещения сверх учетной нормы (унаследовал долю в праве общей собственности на жилой дом). Признавая данное решение правомерным, суд общей юрисдикции отклонил довод Р.А.Чекмарева о необходимости применения по аналогии положения пункта 3 Порядка, отметив отсутствие правового механизма передачи доли в праве частной собственности на жилое помещение в публичную собственность в целях предоставления жилищных гарантий военнослужащим, лицам, уволенным с военной службы; с данным выводом согласились и суды вышестоящих инстанций. По мнению заявителя, оспариваемые нормативные положения в их взаимосвязи не соответствуют статьям 19 (части 1 и 2), 40 и 55 (части 2 и 3) Конституции Российской Федерации, поскольку они порождают необоснованную дифференциацию в жилищных правах военнослужащих, лиц, уволенных с военной службы, в зависимости от правовых оснований для использования ими занимаемых жилых помещений (договор социального найма или право собственности).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Чекмарева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