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1853-О/2023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Таргонского Виктора Алексеевича на нарушение его конституционных прав частью третьей статьи 133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В.А.Таргонского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В.А.Таргонский оспаривает конституционность части третьей статьи 133 Трудового кодекса Российской Федерации, согласно которой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труда. По мнению заявителя, оспариваемое положение, примененное в его деле судами общей юрисдикции, не соответствует статьям 2, 7, 15, 17 (часть 1), 18, 19, 37 (часть 3), 45 (часть 1) и 55 Конституции Российской Федерации, поскольку по смыслу, придаваемому правоприменительной практикой, 2 позволяет работодателю устанавливать работникам заработную плату, размер которой с включением в ее состав иных выплат, предусмотренных системой оплаты труда, не превышает минимальный размер оплаты труда, что нарушает право работников на справедливую заработную плату и позволяет не учитывать их квалификацию, сложность и качество выполняемой работы.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Таргонского Виктора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