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Кукушкина Алексея Николаевича на нарушение его конституционных прав подпунктом 2 пункта 1 статьи 352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А.Н.Кукушкина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А.Н.Кукушкин оспаривает конституционность подпункта 2 пункта 1 статьи 352 ГК Российской Федерации, закрепляющего, что залог прекращается, если заложенное имущество возмездно приобретено лицом, которое не знало и не должно было знать, что это имущество является предметом залога.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требования А.Н.Кукушкина о признании залога транспортного средства, приобретенного им по договору 2 купли-продажи, прекращенным. В обоснование иска заявитель ссылался на то, что он не знал и не мог знать о залоге и что в момент приобретения транспортного средства соответствующие сведения не были внесены в реестр уведомлений о залоге движимого имущества. Как указано в судебных постановлениях, апелляционным определением по ранее рассмотренному делу об обращении по требованию залогодержателя взыскания на предмет залога было установлено, что А.Н.Кукушкин, несмотря на наличие обстоятельств, вызывающих сомнения в законности сделки и в том, что товар свободен от прав третьих лиц, не проявил разумной осмотрительности при приобретении транспортного средства. В передаче кассационной жалобы А.Н.Кукушкина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17 (часть 3), 18, 19 (часть 1) и 46 (часть 1) Конституции Российской Федерации, поскольку по смыслу, придаваемому ему правоприменительной практикой, оно позволяет считать недобросовестным лицо, приобретшее заложенное имущество, несмотря на то что в момент его приобретения сведения о залоге не были внесены в реестр уведомлений о залоге движимого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2 пункта 1 статьи 352 ГК Российской Федерации устанавливает в целях защиты прав и законных интересов добросовестного приобретателя имущества, являющегося предметом залога, исключение из установленного пунктом 1 статьи 353 данного Кодекса правила о сохранении залога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либо в порядке универсального правопреемства. 3 При этом в силу абзаца третьего пункта 4 статьи 3391 ГК Российской Федерации залогодержатель в отношениях с третьими лицами вправе ссылаться на принадлежащее ему право залога не относящегося к недвижимым вещам иного имущества, помимо указанного в пунктах 1–3 этой статьи, только с момента совершения записи об учете залога, за исключением случаев, если третье лицо знало или должно было знать о существовании залога ранее этого. Оспариваемое положение не может расцениваться в качестве нарушающего в обозначенном в жалобе аспекте конституционные права заявителя, в деле с участием которого суд первой инстанции указал, что положенные в обоснование иска доводы А.Н.Кукушкина направлены на оспаривание фактов, установленных вступившим в законную силу судебным постановлением по иному делу. Установление же и исследование фактических обстоятельств конкретного дела, оценка доказательств, послуживших основанием для применения в деле тех или иных норм права, не относятся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Кукушкина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