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 на нарушение ее конституционных прав пунктом 1 статьи 55 и пунктами 1 и 3 статьи 67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 оспаривает конституционность пункта 1 статьи 55 «Право ребенка на общение с родителями и другими родственниками» и пунктов 1 и 3 статьи 67 «Право на общение с ребенком дедушки, бабушки, братьев, сестер и других родственников»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отцу, бабушке (А.) и тете (гражданке Г.А.) несовершеннолетнего ребенка отказано в определении порядка общения с ним; заявительница и Г.А. по встречному иску матери ребенка ограничены в общении с ребенком до достижения им возраста десяти лет. В передаче кассационной жалобы А. 2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 2, 15, 17 (часть 1), 18, 19 (часть 1), 38 (часть 1), 45–47 и 55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произвольно применяются судами и позволяют ограничить на определенный срок право родственников общаться с несовершеннолетним ребенком без предусмотренных законом оснований и с нарушением порядка принятия такого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Конвенцией о правах ребенка (принята Генеральной Ассамблеей ООН 20 ноября 1989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(пункт 1 статьи 3). Принцип приоритетной защиты прав и интересов несовершеннолетних членов семьи закреплен в пункте 3 статьи 1 Семейного кодекса Российской Федерации, что согласуется с положениями Конституции Российской Федерации (статья 38, часть 1; статья 671, часть 4) (Определение Конституционного Суда Российской Федерации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