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Опарина Павла Валерьевича на нарушение его конституционных прав статьями 196, 199, пунктом 1 статьи 200 и статьей 1069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П.В.Опарина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П.В.Опарин оспаривает конституционность статей 196 «Общий срок исковой давности», 199 «Применение исковой давности», пункта 1 статьи 200 «Начало течения срока исковой давности» и статьи 1069 «Ответственность за вред, причиненный государственными органами, органами местного самоуправления, а также их должностными лицами» ГК Российской Федерации. Решением суда общей юрисдикции, оставленным без изменения судами вышестоящих инстанций, П.В.Опарину отказано в удовлетворении требования о возмещении убытков, причиненных, как он полагал, 2 некачественным расследованием уголовного дела. Помимо прочего, суды применили последствия пропуска заявителем срока исковой давности. Определением судьи Верховного Суда Российской Федерации, с которым согласился заместитель Председателя этого суда, в передаче кассационной жалобы П.В.Опарина для рассмотрения в судебном заседании суда кассационной инстанции отказано. По мнению заявителя, оспариваемые положения противоречат статьям 19 (часть 1), 45 (часть 1), 46 (часть 1) и 53 Конституции Российской Федерации в той мере, в какой статьи 196, 199 и пункт 1 статьи 200 ГК Российской Федерации позволяют судам произвольно отсчитывать срок исковой давности по иску о возмещении убытков, причиненных должностными лицами органов предварительного расследования, от момента вступления в законную силу решения суда о присуждении компенсации за нарушение права на досудебное производство по уголовному делу в разумный срок, а статья 1069 того же Кодекса предполагает необходимость доказывания потерпевшим противоправности действий (бездействия) соответствующих должностных лиц и их вины в причинении вреда.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законе общего срока исковой давности, т.е. срока для защиты интересов лица, право которого нарушено (статья 196 ГК Российской Федерации), начала его течения (статья 200 ГК Российской Федерации) и последствий его пропуска (статья 199 ГК Российской Федерации) обусловлено необходимостью обеспечить стабильность гражданского оборота и не может рассматриваться как нарушающее какие-либо конституционные права. При этом положение пункта 1 статьи 200 ГК Российской Федерации сформулировано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(определения Конституционного Суда Российской Федерации от 29 марта 3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Опарина Павла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