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Марченко Романа Васильевича на нарушение его конституционных прав статьей 27.10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Р.В.Марченко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Р.В.Марченко оспаривает конституционность статьи 27.10 «Изъятие вещей и документов» КоАП Российской Федерации. Как следует из представленных материалов, в рамках производства по делу об административном правонарушении сотрудниками таможенного органа у Р.В.Марченко было изъято парусное судно. Заявитель обратился с жалобой на указанные действия к начальнику таможенного органа, подчеркнув, в частности, что изъятое судно является его жилищем. В ответе на жалобу ему было сообщено, что изъятое судно не может рассматриваться в качестве жилища, является объектом таможенного контроля и его изъятие 2 применено в качестве меры обеспечения производства по делу об административном правонарушении на основании статьи 27.10 КоАП Российской Федерации. Также начальник таможенного органа отказал Р.В.Марченко в предоставлении консультации по вопросу таможенного декларирования парусного судна, поскольку его обращение не было подписано. Решением районного суда, оставленным без изменения вышестоящими судами, было отказано в удовлетворении требований заявителя о признании незаконными ответов начальника таможенного органа. При этом суды отклонили доводы заявителя об отсутствии необходимости декларирования парусного судна и о допущенных при его изъятии нарушениях норм законодательства об административных правонарушениях, указав, что выяснение этих обстоятельств является предметом рассмотрения по делу об административном правонарушении. По мнению заявителя, оспариваемое законоположение не соответствует статье 25 Конституции Российской Федерации, поскольку допускает изъятие без судебного решения парусного судна, используемого в качестве жилища.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Марченко Романа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