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«Рабочий стандарт» на нарушение его конституционных прав пунктом 4 статьи 1515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«Рабочий стандарт»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«Рабочий стандарт» (далее также – ООО «Рабочий стандарт») оспаривает конституционность пункта 4 статьи 1515 ГК Российской Федерации, предусматривающего, что правообладатель вправе требовать по своему выбору от нарушителя вместо возмещения убытков выплаты компенсации, и закрепляющего способы расчета такой компенсации. Как следует из представленных материалов, решением арбитражного суда, оставленным без изменения постановлением суда апелляционной инстанции, с ООО «Рабочий стандарт» компенсация за нарушение 2 исключительного права на товарный знак взыскана в размере стоимости товара. Суд апелляционной инстанции отметил, что исключительное право на товарный знак было нарушено путем его размещения на странице в сети Интернет при предложении товара к продаже неограниченному кругу лицу, в электронной переписке при выставлении счета, в счетах и в универсально- передаточных документах. Оставляя без изменения упомянутые судебные акты, Суд по интеллектуальным правам указал, что с учетом разъяснений, содержащихся в пункте 61 постановления Пленума Верховного Суда Российской Федерации от 23 апреля 2019 года № 10 «О применении части четвертой Гражданского кодекса Российской Федерации», компенсация, исчисленная исходя из размера стоимости контрафактного товара, может быть взыскана и в случае предложения его к продаже. В передаче кассационной жалобы на акты судов нижестоящих инстанций для рассмотрения в судебном заседании Судебной коллегии по экономическим спорам Верховного Суда Российской Федерации было отказано определением судьи этого суда. По мнению заявителя, пункт 4 статьи 1515 ГК Российской Федерации противоречит статьям 17 (часть 3), 35 (части 1 и 2), 46 (часть 1) и 55 (часть 3) Конституции Российской Федерации, поскольку по смыслу, придаваемому ему правоприменительной практикой, он позволяет правообладателю требовать взыскания компенсации за нарушение исключительного права в двукратном размере стоимости товаров, на которых незаконно размещен товарный знак, несмотря на то что на товаре, его этикетке или упаковке товарный знак размещен не был. В жалобе указано, что в такой ситуации размер компенсации должен определяться в двукратном размере стоимости права использования товарного знака, определяемой исходя из цены, которая при сравнимых обстоятельствах обычно взимается за правомерное использование товарного знака.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4 статьи 1515 ГК Российской Федерации, закрепляющий право правообладателя требовать по своему выбору от нарушителя вместо возмещения убытков выплаты компенсации и предусматривающий способы ее расчета, развивает положения пункта 3 статьи 1252 того же Кодекса и обеспечивает защиту интересов обладателя исключительного права на товарный знак (Определение Конституционного Суда Российской Федерации от 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«Рабочий стандарт», поскольку она не отвечает требованиям Федерального конституционного закона «О 4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