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1682-О/2024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Чирковой Ольги Николаевны на нарушение ее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О.Н.Чирковой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О.Н.Чиркова, с которой решением мирового судьи взыскана задолженность по оплате коммунальных услуг, оспаривает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а также части первой Гражданского кодекса Российской Федерации, Жилищного кодекса Российской Федерации, Федерального закона от 30 ноября 1994 года № 52- ФЗ «О введении в действие части первой Гражданского кодекса Российской 2 Федерации» и Федерального закона от 29 декабря 2004 года № 189-ФЗ «О введении в действие Жилищного кодекса Российской Федерации». По мнению заявительницы,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 и 105 (часть 1) Конституции Российской Федерации, поскольку нарушен порядок его принятия и опубликования. В связи с этим О.Н.Чиркова полагает, что иные оспариваемые федеральные законы приняты депутатами Государственной Думы и сенаторами Российской Федерации, не имевшими полномочий осуществлять законодательную власть, а потому они противоречат статьям 4 (часть 2), 15 (часть 1) и 105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Чирковой Ольги Николаевны,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