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«Альфа Строй» на нарушение его конституционных прав частью 2 статьи 215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«Альфа 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 Строй» (далее – ООО «Альфа Строй») оспаривает конституционность части 2 статьи 215 «Решение суда по административному делу об оспаривании нормативного правового акта» КАС Российской Федерации. Как следует из представленных материалов, апелляционным определением апелляционного суда общей юрисдикции, с которым согласились суды вышестоящих инстанций, отказано в удовлетворении требований заявителя о признании недействующим пункта 1.6 Требований по предотвращению гибели объектов животного мира при осуществлении 2 производственных процессов, а также при эксплуатации транспортных магистралей, трубопроводов, линий связи и электропередачи на территории Краснодарского края (далее – Требования; приложение к постановлению главы администрации (губернатора) Краснодарского края от 23 августа 2016 года № 642), предусматривающего, в частности, что не допускается осуществление хозяйственной и иной деятельности, оказывающей воздействие на объекты животного мира и среду их обитания (за исключением мероприятий по охране, защите и воспроизводству лесов), без планирования и реализации мероприятий по охране объектов животного мира и среды их обитания, согласованных с органом исполнительной власти Краснодарского края, уполномоченным в области охраны и использования животного мира, сохранения и восстановления среды его обитания. Суды пришли к выводу, что оспариваемое положение соответствует законодательству в области охраны окружающей среды, и указали, что используемое в Требованиях понятие мероприятий по охране объектов животного мира и среды их обитания не может быть истолковано как дающее основание для возложения на их участников обязанности согласования проектной документации; согласование мероприятий осуществляется не в целях строительства, реконструкции объекта капитального строительства, ввода такого объекта в эксплуатацию, а также государственной регистрации прав на него, а в целях охраны объектов животного мира и среды их обитания. По мнению заявителя, часть 2 статьи 215 КАС Российской Федерации не соответствует статье 120 (часть 2) Конституции Российской Федерации в той мере, в какой она позволяет отказывать в удовлетворении заявленных требований о признании недействующим нормативного правового акта полностью или в части со ссылкой на то, что оспариваемый нормативный правовой акт соответствует любому иному, а не указанному административным истцом, нормативному правовому акту, имеющему большую юридическую силу, и даже формально не оценивать соответствие оспариваемого нормативного правового акта указанному заявителем нормативному правовому акту, имеющему большую юридическую силу.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«Альфа 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