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2903-О/2023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крестьянского (фермерского) хозяйства «Гофман А.Ф.» на нарушение его конституционных прав пунктом 3 статьи 652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крестьянского (фермерского) хозяйства «Гофман А.Ф.»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были удовлетворены исковые требования ряда граждан к крестьянскому (фермерскому) хозяйству «Гофман А.Ф.» о восстановлении их в правах членов крестьянского (фермерского) хозяйства, на ответчика возложена обязанность предоставить отдельным лицам надлежащим образом заверенные копии документов о его деятельности. При этом суды исходили, в частности, из того, что истцы утратили без законных оснований, помимо их воли членство в крестьянском (фермерском) хозяйстве. 2 Крестьянское (фермерское) хозяйство «Гофман А.Ф.» оспаривает конституционность положений пункта 3 статьи 652 «Права и обязанности участников корпорации» ГК Российской Федерации. По мнению заявителя, данные законоположения противоречат Конституции Российской Федерации, в том числе ее статье 17 (часть 3), в той мере, в какой они в системе действующего правового регулирования по смыслу, придаваемому им правоприменительной практикой, предоставляют гражданам ничем не ограниченное право восстанавливать корпоративный контроль над крестьянским (фермерским) хозяйством без предоставления доказательств правомерности своих действий как членов крестьянского (фермерского) хозяйства, при этом нарушая права и интересы главы и других членов такого хозяйства, а также не позволяют при разрешении конкретных дел, связанных с восстановлением корпоративного контроля, обеспечить баланс законных интересов членов крестьянского (фермерского) хозяйства и самого хозяйства, исследовать вопрос о добросовестности членов, утративших право участия в делах крестьянского (фермерского) хозяйства, и о наличии у них права требовать восстановления корпоративного контроля.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652 ГК Российской Федерации, если иное не установлено данным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3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 Приведенные положения гарантируют защиту законных интересов участников коммерческих корпораций, которые помимо своей воли утратили корпоративные права в результате неправомерных действий иных лиц, и в целях обеспечения должного баланса интересов всех участников корпоративных отношений предоставляют суду право выбора наиболее приемлемого (с учетом фактических обстоятельств конкретного дела) способа защиты прав потерпевших. Таким образом, пункт 3 статьи 652 ГК Российской Федерации не может расцениваться как нарушающий конституционные права заявителя, указанные в жалобе. Установление же и оценка фактических обстоятельств, имеющих значение для разрешения конкретного дела,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крестьянского (фермерского) хозяйства «Гофман А.Ф.»,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