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Юрченко Даниила Вадимовича на нарушение его конституционных прав пунктом 1 статьи 181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Д.В.Юрченко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Д.В.Юрченко оспаривает конституционность пункта 1 статьи 181 «Сроки исковой давности по недействительным сделкам»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в связи с истечением срока исковой давности отказано в удовлетворении исковых требований Д.В.Юрченко о применении последствий недействительности ничтожной сделки в виде признания недействительной записи в Едином государственном реестре недвижимости о государственной регистрации права, восстановлении права заявителя в 2 общей собственности на недвижимое имущество.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1 статьи 181 ГК Российской Федерации противоречит Конституции Российской Федерации, ее статьям 18, 19, 34 (часть 1), 35 (части 1 и 2), 45 (часть 1) и 46 (часть 1), поскольку он содержит неопределенность в том, какой момент является началом исполнения ничтожной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Юрченко Даниила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