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пункта 1 статьи 28 «Дееспособность малолетних», пунктов 1 и 2 статьи 185 «Общие положения о доверенности», пункта 1 статьи 971 «Договор поручения», пункта 1 статьи 980 «Условия действий в чужом интересе», пункта 1 статьи 981 «Уведомление заинтересованного лица о действиях в его интересе», статьи 982 «Последствия одобрения заинтересованным лицом действий в его интересе», пункта 1 статьи 983 «Последствия неодобрения заинтересованным лицом действий в его интересе», пункта 1 статьи 984 «Возмещение убытков лицу, действовавшему в чужом интересе» и статьи 2 989 «Отчет лица, действовавшего в чужом интересе» ГК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исковое требование гражданки О. к А.Н.Малинину о возмещении расходов на содержание жилого помещения, принадлежащего на праве собственности их несовершеннолетним детям, удовлетворено частично. Суд кассационной инстанции отметил, что суд правомерно не принял во внимание довод А.Н.Малинина об отсутствии у О. права требовать возмещения половины расходов в связи с тем, что эти затраты несла гражданка И., поскольку в ходе рассмотрения дела было установлено, что И., внося соответствующие платежи, действовала как представитель на основании доверенности.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во взаимосвязи противоречат Конституции Российской Федерации, ее статье 19 (части 1 и 2), поскольку они по смыслу, придаваемому им правоприменительной практикой, позволяют гражданину действовать на основании доверенности на представление интересов другого гражданина в интересах несовершеннолетних детей доверителя, а также в интересах третьего лица, доверенности от которого либо договора поручения с которым ни представитель, ни доверитель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28 ГК Российской Федерации, устанавливающий, что за несовершеннолетних, не достигших четырнадцати лет (малолетних), 3 сделки, за исключением указанных в пункте 2 данной статьи, могут совершать от их имени только их родители, усыновители или опекуны, направлен на защиту наименее защищенной в этих отношениях стороны – несовершеннолетних детей и лиц, находящихся под опекой (попечительством), и не может рассматриваться как нарушающий какие- либо конституционные права граждан. При этом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иных оспариваемых заявителем положений, а потому в этой части жалоба не может быть признана допустимой.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