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«Комфорт Дом» на нарушение его конституционных прав пунктом 1 статьи 38, пунктом 1 статьи 39, пунктом 1 статьи 53, подпунктом 1 пункта 1 статьи 146 и пунктом 2 статьи 153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«Комфорт Дом»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«Комфорт Дом» (далее – ООО «Комфорт Дом») оспаривает конституционность пункта 1 статьи 38 «Объект налогообложения», пункта 1 статьи 39 «Реализация товаров, работ или услуг» и пункта 1 статьи 53 «Налоговая база и налоговая ставка, размеры сборов» части первой Налогового кодекса Российской Федерации, а также подпункта 1 пункта 1 статьи 146 «Объект налогообложения» и пункта 2 статьи 153 «Налоговая база» главы 21 «Налог на добавленную стоимость» части второй указанного Кодекса. 2 Как следует из представленных материалов, вступившими в законную силу актами арбитражных судов отказано в удовлетворении заявления ООО «Комфорт Дом» о признании недействительными решений налогового органа о привлечении его к ответственности за совершение налогового правонарушения. При этом суды пришли к выводу, что налогоплательщик необоснованно не отражал в учете операции по реализации тепловой энергии в рамках бездоговорного потребления. По мнению ООО «Комфорт Дом», оспариваемые законоположения противоречат статьям 8, 15, 17 (части 1 и 3), 18, 19 (части 1 и 2), 34 (часть 1), 35 (части 1–3), 45, 46 (часть 1) и 55 (части 2 и 3) Конституции Российской Федерации, поскольку позволяют необоснованно признавать реализацией тепловой энергии с доначислением сумм налога на добавленную стоимость ее бездоговорное потребление при отсутствии у поставщика воли на такую поставку, возможности приостановить поставку, а также оплаты со стороны покупателя.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статей 57, 71 (пункт «з») и 75 (часть 3) Конституции Российской Федерации нормативно-правовое регулирование в сфере налогов и сборов относится к компетенции законодателя, который обладает достаточно широкой дискрецией в выборе конкретных направлений и содержания налоговой политики, самостоятельно решает вопрос о целесообразности налогообложения тех или иных экономических объектов, руководствуясь при этом конституционными принципами регулирования экономических отношений (постановления Конституционного Суда Российской Федерации от 22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«Комфорт Дом»,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