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1955-О/2024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Кузенковой Людмилы Георгиевны на нарушение ее конституционных прав пунктом 1 статьи 302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Л.Г.Кузенковой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Л.Г.Кузенкова оспаривает конституционность пункта 1 статьи 302 ГК Российской Федерации, закрепляющего, что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2 Из представленных материалов следует, что определением суда апелляционной инстанции отменено решение суда общей юрисдикции и, среди прочего, по требованию, предъявленному финансовым управляющим, жилое помещение истребовано от Л.Г.Кузенковой в пользу должника в деле о банкротстве. Суд апелляционной инстанции указал, что в деле о банкротстве договор дарения этого жилого помещения должником своему несовершеннолетнему ребенку признан ничтожным и что ребенок, у которого заявительница приобрела спорное имущество, не имел права его отчуждать. Кроме того, суд посчитал поведение Л.Г.Кузенковой, не проявившей должной заботливости и осмотрительности, недобросовестным и отметил, что жилое помещение было приобретено по цене, которая была значительно ниже рыночной. В передаче кассационной жалобы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Конституции Российской Федерации, поскольку оно позволяет истребовать жилое помещение из владения добросовестного приобретателя, приобретшего это жилое помещение возмездно.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правовых позиций, выраженных в Постановлении Конституционного Суда Российской Федерации от 21 апреля 2003 года № 6- П и других его решениях, закрепленное в статье 302 ГК Российской Федерации правовое регулирование отвечает целям обеспечения стабильности гражданского оборота и направлено в целом на установление баланса прав и законных интересов всех его участников. 3 Оспариваемое положение само по себе не может расцениваться в качестве нарушающего конституционные права заявительницы в обозначенном в жалобе аспекте. Кроме того, доводы, приведенные в обоснование жалобы, в частности утверждение о проявлении Л.Г.Кузенковой при заключении договора достаточной заботливости и осмотрительности, свидетельствуют о том, что нарушение конституционных прав заявительница связывает не с содержанием оспариваемой нормы, а с выводом суда об отсутствии оснований для признания ее добросовестным приобретателем спорного жилого помещения. Такой вывод, по утверждению заявительницы, не основан на всестороннем, полном и объективном исследовании доказательств. Между тем установление и исследование фактических обстоятельств конкретного дела, оценка доказательств, послуживших основанием для применения в деле тех или иных норм права, не относятся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Кузенковой Людмилы Георгиевны,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