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«Северо-Западная инвестиционная компания» на нарушение ее конституционных прав частью 1 статьи 48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«Северо-Западная инвестиционная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«Северо-Западная инвестиционная компания» (далее также – ООО «СЗИК») оспаривает конституционность части 1 статьи 48 «Процессуальное правопреемство» АПК Российской Федерации. Как следует из представленных материалов, определением арбитражного суда, оставленным без изменения судами апелляционной и кассационной инстанций, в деле о несостоятельности (банкротстве) юридического лица произведена замена в порядке процессуального правопреемства конкурсного кредитора ООО «СЗИК» на гражданку Я., 2 признано обоснованным и подлежащим включению в третью очередь реестра требований кредиторов должника требование Я. о взыскании денежных средств, судебные расходы по обособленному спору отнесены на ООО «СЗИК». Определением судьи Верховного Суда Российской Федерации, с которым не нашел оснований не согласиться заместитель Председателя этого суда,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Федерации. По мнению заявителя, оспариваемое законоположение противоречит статьям 8, 15 (часть 4), 19 (части 1 и 2), 35 (части 1 и 2), 46 (часть 1), 55 (части 2 и 3) и 123 (часть 3) Конституции Российской Федерации в той мере, в какой оно позволяет арбитражному суду без должной оценки доказательств осуществить замену на стороне конкурсного кредитора в безусловном порядке на лицо, чье право требования оспаривается и не доказано вступившим в законную силу решением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1 статьи 48 АПК Российской Федерации, обусловливающая процессуальное правопреемство фактом правопреемства в спорном или установленном судебным актом арбитражного суда правоотношении, а также определяющая порядок и последствия осуществления процессуального правопреемства, тем самым предоставляет дополнительные процессуальные гарантии для лиц, участвующих в деле, обеспечивая право в том числе на судебную защиту их правопреемникам. Вопрос о процессуальном правопреемстве во всех случаях решается судом, который при рассмотрении дела обязан исследовать по существу его фактические обстоятельства и не вправе ограничиваться установлением формальных условий применения нормы (Постановление Конституционного Суда Российской Федерации от 16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«Северо-Западная инвестиционная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