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Сурова Вячеслава Викторовича на нарушение его конституционных прав статьей 195 Гражданского процессуального кодекса Российской Федерации, а также отдельными положениями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В.В.Суров, с которого взыскана задолженность по оплате электроэнергии, оспаривает конституционность статьи 195 «Законность и обоснованность решения суда» ГПК Российской Федерации, а также пунктов 59, 81, 814 и 815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Правила). По мнению заявителя, оспариваемые нормы противоречат статьям 17, 18 и 46 (часть 1) Конституции Российской Федерации, поскольку допускают 2 определение объема потребленной электроэнергии расчетным способом в случае, если прибор учета электроэнергии не был введен в эксплуатацию на основании того, что место его установки находится на высоте более двух метров. Кроме того, В.В.Суров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Сурова Вячеслава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