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положениями статей 8 и 139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следующих положений Трудового кодекса Российской Федерации: частей первой и второй статьи 8, согласно которым 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2 соглашениями; в случаях, предусмотренных данным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 части второй статьи 139, устанавливающей, что 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 По мнению И.А.Сысоева, оспариваемые законоположения, примененные в его деле судом, противоречат статьям 1, 2, 15, 17–19, 37, 45, 46, 47 (часть 1), 55, 75 (часть 5) и 751 Конституции Российской Федерации, поскольку позволяют не учитывать при расчете среднего заработка поощрительные выплаты и применять локальные нормативные акты, принятые без учета мнения представительного органа работников.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8 Трудового кодекса Российской Федерации направлена на обеспечение полномочий работодателя по организации труда. При этом данная статья ограничивает право работодателя устанавливать нормативное регулирование по своему усмотрению, обязывая его учитывать мнение представительного органа работников в случаях, предусмотренных указанным Кодексом, другими федеральными законами и иными нормативными правовыми актами, коллективным договором, соглашениями (часть вторая), и закрепляя, что 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3 нормативные акты, принятые без соблюдения установленного порядка учета мнения представительного органа работников, не подлежат применению (часть четвертая). Такое правовое регулирование направлено на согласование интересов работника и работодателя как сторон трудового договора и не может расцениваться в качестве нарушающего права граждан. Часть вторая статьи 139 Трудового кодекса Российской Федерации направлена на обеспечение применения единого порядка расчета средней заработной платы, носит гарантийный характер и не может расцениваться как нарушающая права работников. Проверка же правильности определения состава выплат, подлежащих учету при исчислении размера средней заработной платы заявителя, равно как и обоснованности судебных постановлений, вынесенных по делу И.А.Сысоева,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