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пункта 1 части первой статьи 22 «Подсудность гражданских дел», статей 3795 «Порядок рассмотрения дела кассационным судом общей юрисдикции» (как в целом, так и отдельно ее частей первой и десятой), 3907 «Рассмотрение кассационных жалобы, представления» и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2 Как следует из представленных материалов, определением суда общей юрисдикции, оставленным без изменения судами вышестоящих инстанций, В.А.Дорохину отказано в удовлетворении заявления о пересмотре по новым обстоятельствам определения того же суда, которым ранее ему было отказано в принятии иска. В качестве нового обстоятельства заявитель ссылался на Определение Конституционного Суда Российской Федерации от 23 июля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Определениями от 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