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Фрибуса Александра Рудольфовича на нарушение его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А.Р.Фрибуса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А.Р.Фрибуса и оставленным без изменения постановлениями судов апелляционной и кассационной инстанций, брачный договор, заключенный между должником и гражданкой Е.В.Фрибус, был признан недействительной сделкой, применены последствия недействительности сделки. При этом суды исходили, в частности, из того, что данная сделка совершена с целью причинения вреда имущественным правам кредиторов, а также доказанности совокупности 2 условий, необходимых для признания недействительной сделки, совершенной в пользу заинтересованного лица. А.Р.Фрибус оспаривает конституционность пункта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заявителя, это законоположение противоречит статьям 19 (часть 1), 46 (часть 1) и 47 (часть 1) Конституции Российской Федерации, поскольку допускает возможность признания сделки (брачного договора) недействительной без учета фактической цели и выяснения обстоятельств, послуживших причиной для ее совершения.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3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Данные законоположения, направленные на противодействие последствиям совершения сделок в целях причинения вреда имущественным правам кредиторов, обеспечивают защиту имущественных интересов кредиторов и не могут расцениваться в качестве нарушающих конституционные права заявителя, указанные в жалобе. Установление же и оценка фактических обстоятельств конкретного дела к компетенции Конституционного Суда Российской Федерации, как она предусмотрена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Фрибуса Александра Рудольфовича,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