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Владимира Михайловича на нарушение его конституционных прав пунктом 562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В.М.Фомин оспаривает конституционность пункта 562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Правила), согласно которому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помещения. Как следует из представленных материалов, решением мирового судьи, оставленным без изменения определением суда апелляционной инстанции, 2 удовлетворены исковые требования о взыскании с собственников жилого помещения, в частности с В.М.Фомина, задолженности по оплате коммунальных услуг; в удовлетворении встречного искового требования о взыскании переплаты отказано. Указанные судебные постановления оставлены без изменения определением суда кассационной инстанции. По мнению В.М.Фомина, оспариваемое нормативное положение противоречит Конституции Российской Федерации, в том числе ее статьям 1 (часть 1), 2, 7, 18 и 55 (часть 3), поскольку в силу неопределенности своего содержания позволяет недобросовестным исполнителям коммунальных услуг в случае, когда помещение не оборудовано приборами учета воды, в нем никто не зарегистрирован по месту жительства (временного пребывания) и не проживает, начислять плату за коммунальные услуги по водоснабжению и водоотведению по формальному признаку – исходя лишь из количества собственников помещения (без учета иных критериев), притом что такие услуги фактически не оказывались.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