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1349-О/2024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Васягина Валерия Алексеевича на нарушение его конституционных прав статьей 104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В.А.Васягина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В.А.Васягин оспаривает конституционность статьи 104 Трудового кодекса Российской Федерации, а фактически – ее частей первой и третьей, согласно которым, когда по условиям производства (работы) у индивидуального предпринимателя, в организации в целом или при выполнении отдельных видов работ не может быть соблюдена установленная для данной категории работников (включая работников, занятых на работах с вредными и (или) опасными условиями труда)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2 превышала нормального числа рабочих часов; 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 (часть первая); 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 (часть третья). Как следует из материалов жалобы, заявитель, проходивший службу в органах внутренних дел, обратился в суд с иском о взыскании в том числе денежной компенсации за несение службы сверх установленной продолжительности служебного времени, мотивировав это тем, что количество отработанных им часов за учетный период (год) превысило норму служебного времени. Решением суда первой инстанции данное требование было удовлетворено. Однако суд апелляционной инстанции, с которым согласились вышестоящие суды, данное решение отменил и в удовлетворении исковых требований отказал. Суд при этом исходил из того, что количество часов служебного времени истца за год не превышало количество рабочих часов по производственному календарю. По мнению заявителя, указанные положения статьи 104 Трудового кодекса Российской Федерации не соответствуют статье 37 (часть 5) Конституции Российской Федерации, поскольку не содержат указания на обязанность работодателя при определении количества часов, отработанных сверх нормальной продолжительности служебного времени, уменьшать норму часов в учетном периоде на количество часов, которые сотрудник отсутствовал на службе в связи с освобождением от исполнения служебных обязанностей с сохранением места работы (временная нетрудоспособность, ежегодный оплачиваемый отпуск и т.п.).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статьи 104 Трудового кодекса Российской Федерации предусматривают возможность введения суммированного учета рабочего времени в случаях, когда у работодателя в силу особенностей его производства или выполнения отдельных видов работ не может быть соблюдена установленная для данной категории работников ежедневная или еженедельная продолжительность рабочего времени, направлены на соблюдение в пределах учетного периода установленной для каждого работника нормы рабочего времени, обеспечивают баланс прав и законных интересов работника и работодателя, соответственно не могут расцениваться как нарушающие права граждан. Проверка же обоснованности отказа заявителю в удовлетворении его требования о взыскании денежной компенсации за несение службы сверх установленной продолжительности служебного времени связана с исследованием фактических обстоятельств конкретного дела и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Васягина Валерия Алексеевича,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