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Комина Дмитрия Владимировича на нарушение его конституционных прав статьей 22 Гражданского процессуального кодекса Российской Федерации и статьей 2251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Д.В.Комина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Д.В.Комин оспаривает конституционность статьи 22 «Подсудность гражданских дел» ГПК Российской Федерации и статьи 2251 «Дела по корпоративным спорам» АПК Российской Федерации. Как следует из представленных материалов, решением суда общей юрисдикции, оставленным судами вышестоящих инстанций без изменения, удовлетворен иск хозяйственного общества к Д.В.Комину – его бывшему участнику и генеральному директору о взыскании неосновательного обогащения. Суды апелляционной и кассационной инстанций отвергли доводы о корпоративном характере данного спора и его подсудности арбитражному суду, которые приводил заявитель, ссылавшийся на то, что часть спорных 2 денежных средств была выплачена ему в качестве дивидендов.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Д.В.Комина, оспариваемые нормы не соответствуют статьям 19 (часть 1), 45, 46 (часть 1) и 47 (часть 1) Конституции Российской Федерации в той части, в какой они не содержат указания на то, что споры, вытекающие из участия гражданина в хозяйственном обществе или в его деятельности в качестве единоличного исполнительного органа, относятся к корпоративным спорам, а факт передачи гражданину обществом имущества, в том числе денег, в период его участия в нем является основанием для квалификации спора как основанного на корпоративных взаимоотношениях сторон.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Комина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