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Степановой Анастасии Сергеевны на нарушение ее конституционных прав взаимосвязанными положениями пункта 1 статьи 395, пункта 2 статьи 1107 Гражданского кодекса Российской Федерации, статьи 443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А.С.Степановой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А.С.Степанова оспаривает конституционность взаимосвязанных положений пункта 1 статьи 395 «Ответственность за неисполнение денежного обязательства», пункта 2 статьи 1107 «Возмещение потерпевшему неполученных доходов» ГК Российской Федерации, статьи 443 «Поворот исполнения решения суда» ГПК Российской Федерации. Решением мирового судьи, оставленным без изменения судами апелляционной и кассационной инстанций, отказано в удовлетворении иска 2 А.С.Степановой о взыскании процентов за просрочку возврата денежных средств, ранее взысканных с заявительницы и других лиц в пользу ответчика судебным приказом, впоследствии отмененным на основании возражений относительно его исполнения. Суды исходили из того, что обязанность ответчика по уплате заявительнице процентов за просрочку возврата денежных средств возникла со дня вступления в законную силу определения мирового судьи о повороте исполнения судебного приказа. По мнению заявительницы, оспариваемые нормы не соответствуют статьям 18, 35 (часть 2) и 55 (часть 3) Конституции Российской Федерации, поскольку они позволяют судам произвольно отказывать во взыскании процентов за неправомерное пользование чужими денежными средствами за период со дня вступления в законную силу определения суда об отмене судебного приказа до дня вступления в законную силу определения суда о повороте исполнения судебного приказа.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395 ГК Российской Федерации, являясь элементом механизма возмещения убытков, причиненных кредитору неправомерным пользованием его денежными средствами, фактически устанавливает минимальный предел такого возмещения (определения Конституционного Суда Российской Федерации от 12 ноября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Степановой Анастасии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