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Ткаченко Виталия Евгеньевича на нарушение его конституционных прав статьей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В.Е.Ткаченко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В.Е.Ткаченко оспаривает конституционность статьи 1109 ГК Российской Федерации, устанавливающей, что не подлежат возврату в качестве неосновательного обогащения: 1) имущество, переданное во исполнение обязательства до наступления срока исполнения, если обязательством не предусмотрено иное; 2) имущество, переданное во исполнение обязательства по истечении срока исковой давности; 3) заработная плата и приравненные к ней платежи,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 недобросовестности с его стороны и счетной ошибки; 4) денежные суммы и иное имущество, предоставленные во 2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Как следует из представленных материалов, решением суда общей юрисдикции, оставленным без изменения судами апелляционной и кассационной инстанций, удовлетворено исковое требование гражданина Б. к В.Е.Ткаченко о взыскании с последнего неосновательного обогащения. По мнению заявителя, оспариваемая норма Гражданского кодекса Российской Федерации противоречит Конституции Российской Федерации, в частности ее статье 55, в той мере, в какой она по смыслу, придаваемому ей правоприменительной практикой, лишает граждан возможности защиты своих прав и интересов после действий мошенников, а также допускает расширительное толкование, позволяя злоупотреблять правом и подавать иск к ненадлежащему ответчику.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Ткаченко Виталия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