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2410-О/2024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Колесниковой Алены Александровны на нарушение ее конституционных прав пунктом 2 статьи 612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А.А.Колесниковой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А.А.Колесникова оспаривает конституционность пункта 2 статьи 612 «Оспаривание подозрительных сделок должника» Федерального закона от 26 октября 2002 года № 127-ФЗ «О несостоятельности (банкротстве)». Из представленных материалов следует, что в рамках дела о банкротстве гражданина Ц. определением арбитражного суда, с которым согласились суды вышестоящих инстанций, заявительнице, являющейся конкурсным кредитором, отказано в признании недействительными договоров купли-продажи жилого помещения, в отношении которого в 2 рамках другого гражданского дела были приняты меры по обеспечению иска в виде запрета на совершение регистрационных действий. По мнению А.А.Колесниковой, оспариваемая норма не соответствует Конституции Российской Федерации, ее статьям 2, 15 (часть 2), 17 (часть 3), 18, 19 (часть 1), 45 (часть 1) и 46 (части 1 и 2), поскольку позволяет – в обход установленной процедуры отмены мер по обеспечению иска – производить отчуждение недвижимого имущества, в отношении которого был установлен запрет на совершение регистрационных действий.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612 Федерального закона «О несостоятельности (банкротстве)» предусматривает, в частности, что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должник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Оспариваемая норма, выступая элементом правового регулирования, гарантирующего сохранение конкурсной массы в целях защиты 3 экономических интересов должника и кредиторов, справедливого удовлетворения требований последних, позволяет противодействовать последствиям совершения подозрительных сделок должника, сопряженных с причинением вреда имущественным правам кредиторов, не регулирует вопросов, связанных с принятием мер по обеспечению иска и последствиями их нарушения, и не может расцениваться в качестве нарушающей конституционные права заявительницы, в деле с участием которой арбитражные суды пришли к выводу об отсутствии совокупности условий для признания оспариваемых сделок недействительными. Кроме того, из представленных судебных актов следует, что на момент совершения первой из сделок установленный в отношении спорного имущества запрет был снят судебным приставом-исполнителем. Установление же и оценка фактических обстоятельств конкретного дела, а равно и проверка правильности применения судами оспариваемой нормы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Колесниковой Алены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