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Грачева Андрея Юрьевича на нарушение его конституционных прав пунктом 1 статьи 46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А.Ю.Грачева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было признано недействительным соглашение о прощении долга, порядке, сроках погашения денежных обязательств, заключенное между рядом юридических и физических лиц, в том числе гражданином А.Ю.Грачевым, в части отдельных пунктов данного соглашения. При этом суды исходили, в частности, из того, что материалами дела подтверждается факт совершения крупной сделки без надлежащего корпоративного одобрения. А.Ю.Грачев оспаривает конституционность пункта 1 статьи 46 Федерального закона от 8 февраля 1998 года № 14-ФЗ «Об обществах с ограниченной ответственностью», определяющего понятие крупной сделки. 2 По мнению заявителя, данное законоположение противоречит статье 35 (часть 2) Конституции Российской Федерации в той части, в какой оно позволило арбитражным судам в деле с его участием признать крупной сделкой указанное соглашение.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Грачева Андрея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