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2530-О/2023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Миронова Александра Александровича на нарушение его конституционных прав абзацем вторым части первой статьи 59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А.А.Миронова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А.А.Миронов оспаривает конституционность абзаца второго части первой статьи 59 Трудового кодекса Российской Федерации, согласно которому срочный трудовой договор заключается 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2 договором, соглашениями, локальными нормативными актами, трудовым договором сохраняется место работы. По мнению заявителя, оспариваемое законоположение, примененное в его деле судом, противоречит Конституции Российской Федерации, в частности ее статьям 1 (часть 1), 2, 7 (часть 1), 17 (часть 1), 18, 19 (часть 1), 37 (части 1 и 4), 45, 46, 75 (часть 5) и 751, поскольку позволяет работодателю путем многократного заключения дополнительных соглашений продлевать срочный трудовой договор с работником на время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Предусмотрев в статье 58 Трудового кодекса Российской Федерации возможность заключения срочных трудовых договоров, законодатель вместе с тем ограничивает их применение: по общему правилу такие договоры могут заключаться только в случаях, когда трудовые отношения с учетом характера предстоящей работы или условий ее выполнения не могут быть установлены на неопределенный срок, а также в некоторых иных случаях, предусмотренных Трудовым кодексом Российской Федерации или иными федеральными законами. Так, частью первой статьи 59 названного Кодекса закреплено такое обстоятельство, при котором трудовые отношения не могут быть установлены на неопределенный срок с учетом характера предстоящей работы, а именно: исполнение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3 коллективным договором, соглашениями, локальными нормативными актами, трудовым договором сохраняется место работы. В данном случае работник, давая согласие на заключение трудового договора на определенный срок, знает о его прекращении по истечении заранее оговоренного периода – в связи с выходом на работу работника, за которым в соответствии с действующим законодательством сохраняется место работы. Возможность прекращения срочного трудового договора, заключенного на время исполнения обязанностей временно отсутствующего работника (часть третья статьи 79 Трудового кодекса Российской Федерации), в том числе по основанию, предусмотренному пунктом 2 части первой статьи 77 данного Кодекса, обусловлена необходимостью защиты прав и законных интересов временно отсутствующего работника. Это правило распространяется на всех лиц, заключивших срочный трудовой договор, и не может расцениваться как нарушающее их права. Установление же и исследование фактических обстоятельств дела заявителя, в том числе касающихся оформления срочного трудового договора, не относятся к компетенции Конституционного Суда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