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Орловой Светланы Анатольевны на нарушение ее конституционных прав пунктом 1 статьи 395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С.А.Орловой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С.А.Орлова оспаривает конституционность пункта 1 статьи 395 «Ответственность за неисполнение денежного обязательства» ГК Российской Федерации. Апелляционным определением, оставленным без изменения кассационным судом общей юрисдикции, отказано в удовлетворении требования С.А.Орловой о взыскании за счет казны Российской Федерации убытков, процентов за неправомерное пользование денежными средствами и компенсации морального вреда в связи с излишним взысканием с нее денежных средств судебным приставом-исполнителем. Суды исходили из того, в частности, что отношения, возникшие между сторонами, не носят 2 гражданско-правового характера и не регулируются статьей 395 ГК Российской Федерации. Определением судьи Верховного Суда Российской Федерации отказано в передаче кассационной жалобы С.А.Орловой для рассмотрения в судебном заседании суда кассационной инстанции. По мнению заявительницы, оспариваемая норма противоречит статьям 17 (часть 3), 19 (часть 1), 35 (часть 1), 45 (часть 2), 46 (часть 1), 55 и 123 (часть 3) Конституции Российской Федерации в той мере, в какой она по смыслу, придаваемому ей правоприменительной практикой, не позволяет взыскивать предусмотренные ею проценты с Российской Федерации в лице ее государственных органов.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Орловой Светланы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